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76" w:lineRule="auto"/>
        <w:contextualSpacing w:val="0"/>
        <w:rPr>
          <w:rFonts w:ascii="HG丸ｺﾞｼｯｸM-PRO" w:cs="HG丸ｺﾞｼｯｸM-PRO" w:eastAsia="HG丸ｺﾞｼｯｸM-PRO" w:hAnsi="HG丸ｺﾞｼｯｸM-PRO"/>
          <w:u w:val="single"/>
        </w:rPr>
      </w:pPr>
      <w:bookmarkStart w:colFirst="0" w:colLast="0" w:name="_gjdgxs" w:id="0"/>
      <w:bookmarkEnd w:id="0"/>
      <w:r w:rsidDel="00000000" w:rsidR="00000000" w:rsidRPr="00000000">
        <w:rPr>
          <w:rFonts w:ascii="HG丸ｺﾞｼｯｸM-PRO" w:cs="HG丸ｺﾞｼｯｸM-PRO" w:eastAsia="HG丸ｺﾞｼｯｸM-PRO" w:hAnsi="HG丸ｺﾞｼｯｸM-PRO"/>
          <w:sz w:val="28"/>
          <w:szCs w:val="28"/>
          <w:u w:val="single"/>
          <w:rtl w:val="0"/>
        </w:rPr>
        <w:t xml:space="preserve">２０１ 8年度アテンダンスルールについて</w:t>
      </w:r>
      <w:r w:rsidDel="00000000" w:rsidR="00000000" w:rsidRPr="00000000">
        <w:rPr>
          <w:rtl w:val="0"/>
        </w:rPr>
      </w:r>
    </w:p>
    <w:p w:rsidR="00000000" w:rsidDel="00000000" w:rsidP="00000000" w:rsidRDefault="00000000" w:rsidRPr="00000000">
      <w:pPr>
        <w:spacing w:line="276" w:lineRule="auto"/>
        <w:contextualSpacing w:val="0"/>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pPr>
        <w:spacing w:line="276" w:lineRule="auto"/>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Ⅰ　規程抜粋</w:t>
      </w:r>
    </w:p>
    <w:tbl>
      <w:tblPr>
        <w:tblStyle w:val="Table1"/>
        <w:tblW w:w="1020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c>
          <w:tcPr/>
          <w:p w:rsidR="00000000" w:rsidDel="00000000" w:rsidP="00000000" w:rsidRDefault="00000000" w:rsidRPr="00000000">
            <w:pPr>
              <w:spacing w:line="276" w:lineRule="auto"/>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公益社団法人 都城青年会議所　会員資格規程</w:t>
            </w:r>
          </w:p>
          <w:p w:rsidR="00000000" w:rsidDel="00000000" w:rsidP="00000000" w:rsidRDefault="00000000" w:rsidRPr="00000000">
            <w:pPr>
              <w:spacing w:line="276" w:lineRule="auto"/>
              <w:contextualSpacing w:val="0"/>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pPr>
              <w:spacing w:line="276" w:lineRule="auto"/>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第４条（会員資格に関する事項）</w:t>
            </w:r>
          </w:p>
          <w:p w:rsidR="00000000" w:rsidDel="00000000" w:rsidP="00000000" w:rsidRDefault="00000000" w:rsidRPr="00000000">
            <w:pPr>
              <w:spacing w:line="276" w:lineRule="auto"/>
              <w:ind w:left="924" w:hanging="924"/>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２．</w:t>
            </w:r>
          </w:p>
          <w:p w:rsidR="00000000" w:rsidDel="00000000" w:rsidP="00000000" w:rsidRDefault="00000000" w:rsidRPr="00000000">
            <w:pPr>
              <w:spacing w:line="276" w:lineRule="auto"/>
              <w:ind w:left="615" w:hanging="615"/>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（３）全国会員大会等、総務担当委員会が認める行事に参加した場合は、それぞれ１回の例会出席に代えることができる。</w:t>
            </w:r>
          </w:p>
          <w:p w:rsidR="00000000" w:rsidDel="00000000" w:rsidP="00000000" w:rsidRDefault="00000000" w:rsidRPr="00000000">
            <w:pPr>
              <w:spacing w:line="276" w:lineRule="auto"/>
              <w:ind w:left="615" w:hanging="615"/>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（５）例会当日後６０日以内に他青年会議所の例会に出席し、所定の書類を持ち帰った時、又は総務担当委員会が認める行事に参加した場合はアテンダンスを認める。</w:t>
            </w:r>
          </w:p>
        </w:tc>
      </w:tr>
    </w:tbl>
    <w:p w:rsidR="00000000" w:rsidDel="00000000" w:rsidP="00000000" w:rsidRDefault="00000000" w:rsidRPr="00000000">
      <w:pPr>
        <w:spacing w:line="276" w:lineRule="auto"/>
        <w:contextualSpacing w:val="0"/>
        <w:rPr>
          <w:rFonts w:ascii="HG丸ｺﾞｼｯｸM-PRO" w:cs="HG丸ｺﾞｼｯｸM-PRO" w:eastAsia="HG丸ｺﾞｼｯｸM-PRO" w:hAnsi="HG丸ｺﾞｼｯｸM-PRO"/>
        </w:rPr>
      </w:pPr>
      <w:r w:rsidDel="00000000" w:rsidR="00000000" w:rsidRPr="00000000">
        <w:rPr>
          <w:rtl w:val="0"/>
        </w:rPr>
      </w:r>
    </w:p>
    <w:p w:rsidR="00000000" w:rsidDel="00000000" w:rsidP="00000000" w:rsidRDefault="00000000" w:rsidRPr="00000000">
      <w:pPr>
        <w:spacing w:line="276" w:lineRule="auto"/>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Ⅱ　規程補足</w:t>
      </w:r>
    </w:p>
    <w:p w:rsidR="00000000" w:rsidDel="00000000" w:rsidP="00000000" w:rsidRDefault="00000000" w:rsidRPr="00000000">
      <w:pPr>
        <w:spacing w:line="276" w:lineRule="auto"/>
        <w:ind w:firstLine="210"/>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１　アテンダンスの対象となる欠席について</w:t>
      </w:r>
    </w:p>
    <w:p w:rsidR="00000000" w:rsidDel="00000000" w:rsidP="00000000" w:rsidRDefault="00000000" w:rsidRPr="00000000">
      <w:pPr>
        <w:spacing w:line="276" w:lineRule="auto"/>
        <w:ind w:left="420" w:firstLine="210"/>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2018年度は、現実に例会に参加した者（ただし、遅刻者及び早退者を含む。）に限り、「例会の出席」（運営規程４条１項）として認めている。</w:t>
      </w:r>
    </w:p>
    <w:p w:rsidR="00000000" w:rsidDel="00000000" w:rsidP="00000000" w:rsidRDefault="00000000" w:rsidRPr="00000000">
      <w:pPr>
        <w:spacing w:line="276" w:lineRule="auto"/>
        <w:ind w:left="420" w:firstLine="210"/>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したがって、例会出席表に氏名を記載するのみで、例会に一切参加しない者は欠席として取り扱われる。</w:t>
      </w:r>
    </w:p>
    <w:p w:rsidR="00000000" w:rsidDel="00000000" w:rsidP="00000000" w:rsidRDefault="00000000" w:rsidRPr="00000000">
      <w:pPr>
        <w:spacing w:line="276" w:lineRule="auto"/>
        <w:ind w:left="420" w:firstLine="210"/>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もっとも、担当委員会委員長がやむを得ない事由と認める場合であり、かつ、事前に届出を行った（運営規程４条５項）欠席については、アテンダンス対象の例会として取り扱う。</w:t>
      </w:r>
    </w:p>
    <w:p w:rsidR="00000000" w:rsidDel="00000000" w:rsidP="00000000" w:rsidRDefault="00000000" w:rsidRPr="00000000">
      <w:pPr>
        <w:spacing w:line="276" w:lineRule="auto"/>
        <w:ind w:firstLine="210"/>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２　アテンダンスルール</w:t>
      </w:r>
    </w:p>
    <w:p w:rsidR="00000000" w:rsidDel="00000000" w:rsidP="00000000" w:rsidRDefault="00000000" w:rsidRPr="00000000">
      <w:pPr>
        <w:spacing w:line="276" w:lineRule="auto"/>
        <w:ind w:firstLine="420"/>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①　先取り可能な場合</w:t>
      </w:r>
    </w:p>
    <w:p w:rsidR="00000000" w:rsidDel="00000000" w:rsidP="00000000" w:rsidRDefault="00000000" w:rsidRPr="00000000">
      <w:pPr>
        <w:spacing w:line="276" w:lineRule="auto"/>
        <w:ind w:left="630" w:firstLine="210"/>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会員資格規程４条２項３号に記されている大会参加については、先に例会を欠席した場合だけでなく、大会参加後の例会欠席も補填する（</w:t>
      </w:r>
      <w:r w:rsidDel="00000000" w:rsidR="00000000" w:rsidRPr="00000000">
        <w:rPr>
          <w:rFonts w:ascii="HG丸ｺﾞｼｯｸM-PRO" w:cs="HG丸ｺﾞｼｯｸM-PRO" w:eastAsia="HG丸ｺﾞｼｯｸM-PRO" w:hAnsi="HG丸ｺﾞｼｯｸM-PRO"/>
          <w:u w:val="single"/>
          <w:rtl w:val="0"/>
        </w:rPr>
        <w:t xml:space="preserve">先取り可</w:t>
      </w:r>
      <w:r w:rsidDel="00000000" w:rsidR="00000000" w:rsidRPr="00000000">
        <w:rPr>
          <w:rFonts w:ascii="HG丸ｺﾞｼｯｸM-PRO" w:cs="HG丸ｺﾞｼｯｸM-PRO" w:eastAsia="HG丸ｺﾞｼｯｸM-PRO" w:hAnsi="HG丸ｺﾞｼｯｸM-PRO"/>
          <w:rtl w:val="0"/>
        </w:rPr>
        <w:t xml:space="preserve">）。</w:t>
      </w:r>
    </w:p>
    <w:p w:rsidR="00000000" w:rsidDel="00000000" w:rsidP="00000000" w:rsidRDefault="00000000" w:rsidRPr="00000000">
      <w:pPr>
        <w:spacing w:line="276" w:lineRule="auto"/>
        <w:ind w:left="630" w:firstLine="210"/>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2018年度の具体的な対象大会は以下のとおりであり、出席判定は総務担当委員長が行う。</w:t>
      </w:r>
    </w:p>
    <w:p w:rsidR="00000000" w:rsidDel="00000000" w:rsidP="00000000" w:rsidRDefault="00000000" w:rsidRPr="00000000">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76" w:lineRule="auto"/>
        <w:ind w:left="1260" w:right="0" w:hanging="420"/>
        <w:contextualSpacing w:val="0"/>
        <w:jc w:val="both"/>
        <w:rPr>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京都会議（教育開発委員会）</w:t>
      </w:r>
      <w:r w:rsidDel="00000000" w:rsidR="00000000" w:rsidRPr="00000000">
        <w:rPr>
          <w:rtl w:val="0"/>
        </w:rPr>
      </w:r>
    </w:p>
    <w:p w:rsidR="00000000" w:rsidDel="00000000" w:rsidP="00000000" w:rsidRDefault="00000000" w:rsidRPr="00000000">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76" w:lineRule="auto"/>
        <w:ind w:left="1260" w:right="0" w:hanging="420"/>
        <w:contextualSpacing w:val="0"/>
        <w:jc w:val="both"/>
        <w:rPr>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宮崎ブロック大会「日向」（地域開発委員会）</w:t>
      </w:r>
      <w:r w:rsidDel="00000000" w:rsidR="00000000" w:rsidRPr="00000000">
        <w:rPr>
          <w:rtl w:val="0"/>
        </w:rPr>
      </w:r>
    </w:p>
    <w:p w:rsidR="00000000" w:rsidDel="00000000" w:rsidP="00000000" w:rsidRDefault="00000000" w:rsidRPr="00000000">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76" w:lineRule="auto"/>
        <w:ind w:left="1260" w:right="0" w:hanging="420"/>
        <w:contextualSpacing w:val="0"/>
        <w:jc w:val="both"/>
        <w:rPr>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ＪＣＩ－ＡＳＰＡＣ「ウランバートル」（事務局）</w:t>
      </w:r>
      <w:r w:rsidDel="00000000" w:rsidR="00000000" w:rsidRPr="00000000">
        <w:rPr>
          <w:rtl w:val="0"/>
        </w:rPr>
      </w:r>
    </w:p>
    <w:p w:rsidR="00000000" w:rsidDel="00000000" w:rsidP="00000000" w:rsidRDefault="00000000" w:rsidRPr="00000000">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76" w:lineRule="auto"/>
        <w:ind w:left="1260" w:right="0" w:hanging="420"/>
        <w:contextualSpacing w:val="0"/>
        <w:jc w:val="both"/>
        <w:rPr>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サマーコンファレンス「横浜」（経営推進委員会）</w:t>
      </w:r>
      <w:r w:rsidDel="00000000" w:rsidR="00000000" w:rsidRPr="00000000">
        <w:rPr>
          <w:rtl w:val="0"/>
        </w:rPr>
      </w:r>
    </w:p>
    <w:p w:rsidR="00000000" w:rsidDel="00000000" w:rsidP="00000000" w:rsidRDefault="00000000" w:rsidRPr="00000000">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76" w:lineRule="auto"/>
        <w:ind w:left="1260" w:right="0" w:hanging="420"/>
        <w:contextualSpacing w:val="0"/>
        <w:jc w:val="both"/>
        <w:rPr>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九州地区大会「久留米」（教育創造委員会）</w:t>
      </w:r>
      <w:r w:rsidDel="00000000" w:rsidR="00000000" w:rsidRPr="00000000">
        <w:rPr>
          <w:rtl w:val="0"/>
        </w:rPr>
      </w:r>
    </w:p>
    <w:p w:rsidR="00000000" w:rsidDel="00000000" w:rsidP="00000000" w:rsidRDefault="00000000" w:rsidRPr="00000000">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76" w:lineRule="auto"/>
        <w:ind w:left="1260" w:right="0" w:hanging="420"/>
        <w:contextualSpacing w:val="0"/>
        <w:jc w:val="both"/>
        <w:rPr>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全国大会「埼玉中央」（総務ブランディング委員会）</w:t>
      </w:r>
      <w:r w:rsidDel="00000000" w:rsidR="00000000" w:rsidRPr="00000000">
        <w:rPr>
          <w:rtl w:val="0"/>
        </w:rPr>
      </w:r>
    </w:p>
    <w:p w:rsidR="00000000" w:rsidDel="00000000" w:rsidP="00000000" w:rsidRDefault="00000000" w:rsidRPr="00000000">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76" w:lineRule="auto"/>
        <w:ind w:left="1260" w:right="0" w:hanging="420"/>
        <w:contextualSpacing w:val="0"/>
        <w:jc w:val="both"/>
        <w:rPr>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世界会議「アムステルダム」（事務局）</w:t>
      </w:r>
      <w:r w:rsidDel="00000000" w:rsidR="00000000" w:rsidRPr="00000000">
        <w:rPr>
          <w:rtl w:val="0"/>
        </w:rPr>
      </w:r>
    </w:p>
    <w:p w:rsidR="00000000" w:rsidDel="00000000" w:rsidP="00000000" w:rsidRDefault="00000000" w:rsidRPr="00000000">
      <w:pPr>
        <w:spacing w:line="276" w:lineRule="auto"/>
        <w:ind w:firstLine="420"/>
        <w:contextualSpacing w:val="0"/>
        <w:rPr>
          <w:rFonts w:ascii="HG丸ｺﾞｼｯｸM-PRO" w:cs="HG丸ｺﾞｼｯｸM-PRO" w:eastAsia="HG丸ｺﾞｼｯｸM-PRO" w:hAnsi="HG丸ｺﾞｼｯｸM-PRO"/>
        </w:rPr>
      </w:pPr>
      <w:r w:rsidDel="00000000" w:rsidR="00000000" w:rsidRPr="00000000">
        <w:rPr>
          <w:rFonts w:ascii="ＭＳ 明朝" w:cs="ＭＳ 明朝" w:eastAsia="ＭＳ 明朝" w:hAnsi="ＭＳ 明朝"/>
          <w:rtl w:val="0"/>
        </w:rPr>
        <w:t xml:space="preserve">➁</w:t>
      </w:r>
      <w:r w:rsidDel="00000000" w:rsidR="00000000" w:rsidRPr="00000000">
        <w:rPr>
          <w:rFonts w:ascii="HG丸ｺﾞｼｯｸM-PRO" w:cs="HG丸ｺﾞｼｯｸM-PRO" w:eastAsia="HG丸ｺﾞｼｯｸM-PRO" w:hAnsi="HG丸ｺﾞｼｯｸM-PRO"/>
          <w:rtl w:val="0"/>
        </w:rPr>
        <w:t xml:space="preserve">　先取り不可の場合</w:t>
      </w:r>
    </w:p>
    <w:p w:rsidR="00000000" w:rsidDel="00000000" w:rsidP="00000000" w:rsidRDefault="00000000" w:rsidRPr="00000000">
      <w:pPr>
        <w:spacing w:line="276" w:lineRule="auto"/>
        <w:ind w:left="630" w:firstLine="210"/>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会員資格規程４条２項５号に記されているアテンダンスについては、例会欠席後６０日以内の補填のみ有効とする（</w:t>
      </w:r>
      <w:r w:rsidDel="00000000" w:rsidR="00000000" w:rsidRPr="00000000">
        <w:rPr>
          <w:rFonts w:ascii="HG丸ｺﾞｼｯｸM-PRO" w:cs="HG丸ｺﾞｼｯｸM-PRO" w:eastAsia="HG丸ｺﾞｼｯｸM-PRO" w:hAnsi="HG丸ｺﾞｼｯｸM-PRO"/>
          <w:u w:val="single"/>
          <w:rtl w:val="0"/>
        </w:rPr>
        <w:t xml:space="preserve">先取り不可</w:t>
      </w:r>
      <w:r w:rsidDel="00000000" w:rsidR="00000000" w:rsidRPr="00000000">
        <w:rPr>
          <w:rFonts w:ascii="HG丸ｺﾞｼｯｸM-PRO" w:cs="HG丸ｺﾞｼｯｸM-PRO" w:eastAsia="HG丸ｺﾞｼｯｸM-PRO" w:hAnsi="HG丸ｺﾞｼｯｸM-PRO"/>
          <w:rtl w:val="0"/>
        </w:rPr>
        <w:t xml:space="preserve">）。例えば、他青年会議所の例会への参加は、それ以降の例会欠席のアテンダンスとしては認めない。</w:t>
      </w:r>
    </w:p>
    <w:p w:rsidR="00000000" w:rsidDel="00000000" w:rsidP="00000000" w:rsidRDefault="00000000" w:rsidRPr="00000000">
      <w:pPr>
        <w:spacing w:line="276" w:lineRule="auto"/>
        <w:ind w:left="630" w:firstLine="210"/>
        <w:contextualSpacing w:val="0"/>
        <w:rPr>
          <w:rFonts w:ascii="HG丸ｺﾞｼｯｸM-PRO" w:cs="HG丸ｺﾞｼｯｸM-PRO" w:eastAsia="HG丸ｺﾞｼｯｸM-PRO" w:hAnsi="HG丸ｺﾞｼｯｸM-PRO"/>
        </w:rPr>
      </w:pPr>
      <w:r w:rsidDel="00000000" w:rsidR="00000000" w:rsidRPr="00000000">
        <w:rPr>
          <w:rFonts w:ascii="HG丸ｺﾞｼｯｸM-PRO" w:cs="HG丸ｺﾞｼｯｸM-PRO" w:eastAsia="HG丸ｺﾞｼｯｸM-PRO" w:hAnsi="HG丸ｺﾞｼｯｸM-PRO"/>
          <w:rtl w:val="0"/>
        </w:rPr>
        <w:t xml:space="preserve">2018年度の具体的な対象例会・事業は以下のとおりであり、出席及びアテンダンス要件該当性の判断は総務担当委員長が行う。</w:t>
      </w:r>
    </w:p>
    <w:p w:rsidR="00000000" w:rsidDel="00000000" w:rsidP="00000000" w:rsidRDefault="00000000" w:rsidRPr="00000000">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76" w:lineRule="auto"/>
        <w:ind w:left="1260" w:right="0" w:hanging="420"/>
        <w:contextualSpacing w:val="0"/>
        <w:jc w:val="both"/>
        <w:rPr>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公益社団法人日本青年会議所総会（事務局）</w:t>
      </w:r>
      <w:r w:rsidDel="00000000" w:rsidR="00000000" w:rsidRPr="00000000">
        <w:rPr>
          <w:rtl w:val="0"/>
        </w:rPr>
      </w:r>
    </w:p>
    <w:p w:rsidR="00000000" w:rsidDel="00000000" w:rsidP="00000000" w:rsidRDefault="00000000" w:rsidRPr="00000000">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76" w:lineRule="auto"/>
        <w:ind w:left="1260" w:right="0" w:hanging="420"/>
        <w:contextualSpacing w:val="0"/>
        <w:jc w:val="both"/>
        <w:rPr>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第３４回いきいき大淀川クリーン大作戦（地域開発委員会）</w:t>
      </w:r>
      <w:r w:rsidDel="00000000" w:rsidR="00000000" w:rsidRPr="00000000">
        <w:rPr>
          <w:rtl w:val="0"/>
        </w:rPr>
      </w:r>
    </w:p>
    <w:p w:rsidR="00000000" w:rsidDel="00000000" w:rsidP="00000000" w:rsidRDefault="00000000" w:rsidRPr="00000000">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76" w:lineRule="auto"/>
        <w:ind w:left="1260" w:right="0" w:hanging="420"/>
        <w:contextualSpacing w:val="0"/>
        <w:jc w:val="both"/>
        <w:rPr>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焼肉カーニバル（教育創造委員会）</w:t>
      </w:r>
      <w:r w:rsidDel="00000000" w:rsidR="00000000" w:rsidRPr="00000000">
        <w:rPr>
          <w:rtl w:val="0"/>
        </w:rPr>
      </w:r>
    </w:p>
    <w:p w:rsidR="00000000" w:rsidDel="00000000" w:rsidP="00000000" w:rsidRDefault="00000000" w:rsidRPr="00000000">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76" w:lineRule="auto"/>
        <w:ind w:left="1260" w:right="0" w:hanging="420"/>
        <w:contextualSpacing w:val="0"/>
        <w:jc w:val="both"/>
        <w:rPr>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島津発祥まつり（経営推進委員会）</w:t>
      </w:r>
      <w:r w:rsidDel="00000000" w:rsidR="00000000" w:rsidRPr="00000000">
        <w:rPr>
          <w:rtl w:val="0"/>
        </w:rPr>
      </w:r>
    </w:p>
    <w:p w:rsidR="00000000" w:rsidDel="00000000" w:rsidP="00000000" w:rsidRDefault="00000000" w:rsidRPr="00000000">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76" w:lineRule="auto"/>
        <w:ind w:left="1260" w:right="0" w:hanging="420"/>
        <w:contextualSpacing w:val="0"/>
        <w:jc w:val="both"/>
        <w:rPr>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北蔚山青年会議所訪問（地域創造委員会）</w:t>
      </w:r>
      <w:r w:rsidDel="00000000" w:rsidR="00000000" w:rsidRPr="00000000">
        <w:rPr>
          <w:rtl w:val="0"/>
        </w:rPr>
      </w:r>
    </w:p>
    <w:p w:rsidR="00000000" w:rsidDel="00000000" w:rsidP="00000000" w:rsidRDefault="00000000" w:rsidRPr="00000000">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76" w:lineRule="auto"/>
        <w:ind w:left="1260" w:right="0" w:hanging="420"/>
        <w:contextualSpacing w:val="0"/>
        <w:jc w:val="both"/>
        <w:rPr>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他青年会議所の例会（例会に参加したＬＯＭの理事長又は吉原理事長より、ネームプレートの裏に日付と署名を記載していただくようにする。）</w:t>
      </w:r>
      <w:r w:rsidDel="00000000" w:rsidR="00000000" w:rsidRPr="00000000">
        <w:rPr>
          <w:rtl w:val="0"/>
        </w:rPr>
      </w:r>
    </w:p>
    <w:p w:rsidR="00000000" w:rsidDel="00000000" w:rsidP="00000000" w:rsidRDefault="00000000" w:rsidRPr="00000000">
      <w:pPr>
        <w:keepNext w:val="0"/>
        <w:keepLines w:val="0"/>
        <w:widowControl w:val="0"/>
        <w:numPr>
          <w:ilvl w:val="2"/>
          <w:numId w:val="1"/>
        </w:numPr>
        <w:pBdr>
          <w:top w:space="0" w:sz="0" w:val="nil"/>
          <w:left w:space="0" w:sz="0" w:val="nil"/>
          <w:bottom w:space="0" w:sz="0" w:val="nil"/>
          <w:right w:space="0" w:sz="0" w:val="nil"/>
          <w:between w:space="0" w:sz="0" w:val="nil"/>
        </w:pBdr>
        <w:shd w:fill="auto" w:val="clear"/>
        <w:spacing w:after="0" w:before="0" w:line="276" w:lineRule="auto"/>
        <w:ind w:left="1260" w:right="0" w:hanging="420"/>
        <w:contextualSpacing w:val="0"/>
        <w:jc w:val="both"/>
        <w:rPr>
          <w:b w:val="0"/>
          <w:i w:val="0"/>
          <w:smallCaps w:val="0"/>
          <w:strike w:val="0"/>
          <w:color w:val="000000"/>
          <w:sz w:val="21"/>
          <w:szCs w:val="21"/>
          <w:u w:val="none"/>
          <w:shd w:fill="auto" w:val="clear"/>
          <w:vertAlign w:val="baseline"/>
        </w:rPr>
      </w:pP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日本・地区・ブロック協議会が実施する事業、及びその他、総務ブランディング委員会が対象と認める事業</w:t>
        <w:br w:type="textWrapping"/>
        <w:t xml:space="preserve">（</w:t>
      </w:r>
      <w:r w:rsidDel="00000000" w:rsidR="00000000" w:rsidRPr="00000000">
        <w:rPr>
          <w:rFonts w:ascii="HG丸ｺﾞｼｯｸM-PRO" w:cs="HG丸ｺﾞｼｯｸM-PRO" w:eastAsia="HG丸ｺﾞｼｯｸM-PRO" w:hAnsi="HG丸ｺﾞｼｯｸM-PRO"/>
          <w:rtl w:val="0"/>
        </w:rPr>
        <w:t xml:space="preserve">柳田</w:t>
      </w:r>
      <w:r w:rsidDel="00000000" w:rsidR="00000000" w:rsidRPr="00000000">
        <w:rPr>
          <w:rFonts w:ascii="HG丸ｺﾞｼｯｸM-PRO" w:cs="HG丸ｺﾞｼｯｸM-PRO" w:eastAsia="HG丸ｺﾞｼｯｸM-PRO" w:hAnsi="HG丸ｺﾞｼｯｸM-PRO"/>
          <w:b w:val="0"/>
          <w:i w:val="0"/>
          <w:smallCaps w:val="0"/>
          <w:strike w:val="0"/>
          <w:color w:val="000000"/>
          <w:sz w:val="21"/>
          <w:szCs w:val="21"/>
          <w:u w:val="none"/>
          <w:shd w:fill="auto" w:val="clear"/>
          <w:vertAlign w:val="baseline"/>
          <w:rtl w:val="0"/>
        </w:rPr>
        <w:t xml:space="preserve">理事長より、ネームプレートの裏に日付と署名を記載していただくようにする。）</w:t>
      </w:r>
      <w:r w:rsidDel="00000000" w:rsidR="00000000" w:rsidRPr="00000000">
        <w:rPr>
          <w:rtl w:val="0"/>
        </w:rPr>
      </w:r>
    </w:p>
    <w:sectPr>
      <w:pgSz w:h="16838" w:w="11906"/>
      <w:pgMar w:bottom="720" w:top="567" w:left="567" w:right="72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Domine"/>
  <w:font w:name="Georgia"/>
  <w:font w:name="HG丸ｺﾞｼｯｸM-PRO"/>
  <w:font w:name="ＭＳ 明朝"/>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420" w:hanging="420"/>
      </w:pPr>
      <w:rPr/>
    </w:lvl>
    <w:lvl w:ilvl="1">
      <w:start w:val="1"/>
      <w:numFmt w:val="decimal"/>
      <w:lvlText w:val="%2"/>
      <w:lvlJc w:val="left"/>
      <w:pPr>
        <w:ind w:left="840" w:hanging="420"/>
      </w:pPr>
      <w:rPr/>
    </w:lvl>
    <w:lvl w:ilvl="2">
      <w:start w:val="1"/>
      <w:numFmt w:val="bullet"/>
      <w:lvlText w:val="●"/>
      <w:lvlJc w:val="left"/>
      <w:pPr>
        <w:ind w:left="1260" w:hanging="420"/>
      </w:pPr>
      <w:rPr>
        <w:rFonts w:ascii="Noto Sans Symbols" w:cs="Noto Sans Symbols" w:eastAsia="Noto Sans Symbols" w:hAnsi="Noto Sans Symbols"/>
      </w:rPr>
    </w:lvl>
    <w:lvl w:ilvl="3">
      <w:start w:val="1"/>
      <w:numFmt w:val="decimal"/>
      <w:lvlText w:val="%4."/>
      <w:lvlJc w:val="left"/>
      <w:pPr>
        <w:ind w:left="1680" w:hanging="420"/>
      </w:pPr>
      <w:rPr/>
    </w:lvl>
    <w:lvl w:ilvl="4">
      <w:start w:val="1"/>
      <w:numFmt w:val="decimal"/>
      <w:lvlText w:val="(%5)"/>
      <w:lvlJc w:val="left"/>
      <w:pPr>
        <w:ind w:left="2100" w:hanging="420"/>
      </w:pPr>
      <w:rPr/>
    </w:lvl>
    <w:lvl w:ilvl="5">
      <w:start w:val="1"/>
      <w:numFmt w:val="decimal"/>
      <w:lvlText w:val="%6"/>
      <w:lvlJc w:val="left"/>
      <w:pPr>
        <w:ind w:left="2520" w:hanging="420"/>
      </w:pPr>
      <w:rPr/>
    </w:lvl>
    <w:lvl w:ilvl="6">
      <w:start w:val="1"/>
      <w:numFmt w:val="decimal"/>
      <w:lvlText w:val="%7."/>
      <w:lvlJc w:val="left"/>
      <w:pPr>
        <w:ind w:left="2940" w:hanging="420"/>
      </w:pPr>
      <w:rPr/>
    </w:lvl>
    <w:lvl w:ilvl="7">
      <w:start w:val="1"/>
      <w:numFmt w:val="decimal"/>
      <w:lvlText w:val="(%8)"/>
      <w:lvlJc w:val="left"/>
      <w:pPr>
        <w:ind w:left="3360" w:hanging="420"/>
      </w:pPr>
      <w:rPr/>
    </w:lvl>
    <w:lvl w:ilvl="8">
      <w:start w:val="1"/>
      <w:numFmt w:val="decimal"/>
      <w:lvlText w:val="%9"/>
      <w:lvlJc w:val="left"/>
      <w:pPr>
        <w:ind w:left="3780" w:hanging="42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Domine" w:cs="Domine" w:eastAsia="Domine" w:hAnsi="Domine"/>
        <w:b w:val="0"/>
        <w:i w:val="0"/>
        <w:smallCaps w:val="0"/>
        <w:strike w:val="0"/>
        <w:color w:val="000000"/>
        <w:sz w:val="21"/>
        <w:szCs w:val="21"/>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both"/>
    </w:pPr>
    <w:rPr>
      <w:rFonts w:ascii="Domine" w:cs="Domine" w:eastAsia="Domine" w:hAnsi="Domine"/>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both"/>
    </w:pPr>
    <w:rPr>
      <w:rFonts w:ascii="Domine" w:cs="Domine" w:eastAsia="Domine" w:hAnsi="Domine"/>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both"/>
    </w:pPr>
    <w:rPr>
      <w:rFonts w:ascii="Domine" w:cs="Domine" w:eastAsia="Domine" w:hAnsi="Domine"/>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both"/>
    </w:pPr>
    <w:rPr>
      <w:rFonts w:ascii="Domine" w:cs="Domine" w:eastAsia="Domine" w:hAnsi="Domine"/>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both"/>
    </w:pPr>
    <w:rPr>
      <w:rFonts w:ascii="Domine" w:cs="Domine" w:eastAsia="Domine" w:hAnsi="Domine"/>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both"/>
    </w:pPr>
    <w:rPr>
      <w:rFonts w:ascii="Domine" w:cs="Domine" w:eastAsia="Domine" w:hAnsi="Domine"/>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both"/>
    </w:pPr>
    <w:rPr>
      <w:rFonts w:ascii="Domine" w:cs="Domine" w:eastAsia="Domine" w:hAnsi="Domine"/>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both"/>
    </w:pPr>
    <w:rPr>
      <w:rFonts w:ascii="Domine" w:cs="Domine" w:eastAsia="Domine" w:hAnsi="Domine"/>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both"/>
    </w:pPr>
    <w:rPr>
      <w:rFonts w:ascii="Domine" w:cs="Domine" w:eastAsia="Domine" w:hAnsi="Domine"/>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both"/>
    </w:pPr>
    <w:rPr>
      <w:rFonts w:ascii="Domine" w:cs="Domine" w:eastAsia="Domine" w:hAnsi="Domine"/>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both"/>
    </w:pPr>
    <w:rPr>
      <w:rFonts w:ascii="Domine" w:cs="Domine" w:eastAsia="Domine" w:hAnsi="Domine"/>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both"/>
    </w:pPr>
    <w:rPr>
      <w:rFonts w:ascii="Domine" w:cs="Domine" w:eastAsia="Domine" w:hAnsi="Domine"/>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both"/>
    </w:pPr>
    <w:rPr>
      <w:rFonts w:ascii="Domine" w:cs="Domine" w:eastAsia="Domine" w:hAnsi="Domine"/>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both"/>
    </w:pPr>
    <w:rPr>
      <w:rFonts w:ascii="Domine" w:cs="Domine" w:eastAsia="Domine" w:hAnsi="Domine"/>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both"/>
    </w:pPr>
    <w:rPr>
      <w:rFonts w:ascii="Domine" w:cs="Domine" w:eastAsia="Domine" w:hAnsi="Domine"/>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both"/>
    </w:pPr>
    <w:rPr>
      <w:rFonts w:ascii="Domine" w:cs="Domine" w:eastAsia="Domine" w:hAnsi="Domine"/>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contextualSpacing w:val="0"/>
      <w:jc w:val="both"/>
    </w:pPr>
    <w:rPr>
      <w:rFonts w:ascii="Domine" w:cs="Domine" w:eastAsia="Domine" w:hAnsi="Domine"/>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contextualSpacing w:val="0"/>
      <w:jc w:val="both"/>
    </w:pPr>
    <w:rPr>
      <w:rFonts w:ascii="Domine" w:cs="Domine" w:eastAsia="Domine" w:hAnsi="Domine"/>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contextualSpacing w:val="0"/>
      <w:jc w:val="both"/>
    </w:pPr>
    <w:rPr>
      <w:rFonts w:ascii="Domine" w:cs="Domine" w:eastAsia="Domine" w:hAnsi="Domine"/>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contextualSpacing w:val="0"/>
      <w:jc w:val="both"/>
    </w:pPr>
    <w:rPr>
      <w:rFonts w:ascii="Domine" w:cs="Domine" w:eastAsia="Domine" w:hAnsi="Domine"/>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contextualSpacing w:val="0"/>
      <w:jc w:val="both"/>
    </w:pPr>
    <w:rPr>
      <w:rFonts w:ascii="Domine" w:cs="Domine" w:eastAsia="Domine" w:hAnsi="Domine"/>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4.0" w:type="dxa"/>
        <w:left w:w="284.0" w:type="dxa"/>
        <w:bottom w:w="284.0" w:type="dxa"/>
        <w:right w:w="284.0" w:type="dxa"/>
      </w:tblCellMar>
    </w:tbl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4.0" w:type="dxa"/>
        <w:left w:w="284.0" w:type="dxa"/>
        <w:bottom w:w="284.0" w:type="dxa"/>
        <w:right w:w="284.0" w:type="dxa"/>
      </w:tblCellMar>
    </w:tbl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contextualSpacing w:val="0"/>
      <w:jc w:val="both"/>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284.0" w:type="dxa"/>
        <w:left w:w="284.0" w:type="dxa"/>
        <w:bottom w:w="284.0" w:type="dxa"/>
        <w:right w:w="284.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